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4414"/>
        <w:gridCol w:w="4414"/>
      </w:tblGrid>
      <w:tr w:rsidR="00FC3AB1" w:rsidTr="00FC3AB1">
        <w:trPr>
          <w:trHeight w:val="708"/>
        </w:trPr>
        <w:tc>
          <w:tcPr>
            <w:tcW w:w="4414" w:type="dxa"/>
          </w:tcPr>
          <w:p w:rsidR="00FC3AB1" w:rsidRPr="00FC3AB1" w:rsidRDefault="00FC3AB1" w:rsidP="00FC3AB1">
            <w:pPr>
              <w:pStyle w:val="Ttulo1"/>
              <w:rPr>
                <w:rFonts w:ascii="Arial" w:hAnsi="Arial" w:cs="Arial"/>
                <w:sz w:val="24"/>
                <w:szCs w:val="24"/>
              </w:rPr>
            </w:pPr>
            <w:r w:rsidRPr="00FC3AB1">
              <w:rPr>
                <w:rFonts w:ascii="Arial" w:hAnsi="Arial" w:cs="Arial"/>
                <w:sz w:val="24"/>
                <w:szCs w:val="24"/>
              </w:rPr>
              <w:t>La Judicatura tumba las tutelas que favorecían al alcalde Petro</w:t>
            </w:r>
          </w:p>
          <w:p w:rsidR="00FC3AB1" w:rsidRPr="00FC3AB1" w:rsidRDefault="00FC3AB1" w:rsidP="00FC3AB1">
            <w:pPr>
              <w:spacing w:before="100" w:beforeAutospacing="1" w:after="100" w:afterAutospacing="1"/>
              <w:outlineLvl w:val="0"/>
              <w:rPr>
                <w:rFonts w:ascii="Arial" w:eastAsia="Times New Roman" w:hAnsi="Arial" w:cs="Arial"/>
                <w:b/>
                <w:bCs/>
                <w:kern w:val="36"/>
                <w:sz w:val="24"/>
                <w:szCs w:val="24"/>
                <w:lang w:eastAsia="es-CO"/>
              </w:rPr>
            </w:pPr>
          </w:p>
        </w:tc>
        <w:tc>
          <w:tcPr>
            <w:tcW w:w="4414" w:type="dxa"/>
          </w:tcPr>
          <w:p w:rsidR="00FC3AB1" w:rsidRPr="00FC3AB1" w:rsidRDefault="00FC3AB1" w:rsidP="00FC3AB1">
            <w:pPr>
              <w:pStyle w:val="Ttulo1"/>
              <w:rPr>
                <w:rFonts w:ascii="Arial" w:hAnsi="Arial" w:cs="Arial"/>
                <w:sz w:val="24"/>
                <w:szCs w:val="24"/>
              </w:rPr>
            </w:pPr>
            <w:r>
              <w:rPr>
                <w:rFonts w:ascii="Arial" w:hAnsi="Arial" w:cs="Arial"/>
                <w:sz w:val="24"/>
                <w:szCs w:val="24"/>
              </w:rPr>
              <w:t>T</w:t>
            </w:r>
            <w:r w:rsidRPr="00FC3AB1">
              <w:rPr>
                <w:rFonts w:ascii="Arial" w:hAnsi="Arial" w:cs="Arial"/>
                <w:sz w:val="24"/>
                <w:szCs w:val="24"/>
              </w:rPr>
              <w:t>utelas que favorecían al alcalde Petro</w:t>
            </w:r>
            <w:r>
              <w:rPr>
                <w:rFonts w:ascii="Arial" w:hAnsi="Arial" w:cs="Arial"/>
                <w:sz w:val="24"/>
                <w:szCs w:val="24"/>
              </w:rPr>
              <w:t>, son tumbadas por la Judicatura</w:t>
            </w:r>
          </w:p>
          <w:p w:rsidR="00FC3AB1" w:rsidRPr="00FC3AB1" w:rsidRDefault="00FC3AB1" w:rsidP="00FC3AB1">
            <w:pPr>
              <w:spacing w:before="100" w:beforeAutospacing="1" w:after="100" w:afterAutospacing="1"/>
              <w:outlineLvl w:val="0"/>
              <w:rPr>
                <w:rFonts w:ascii="Arial" w:eastAsia="Times New Roman" w:hAnsi="Arial" w:cs="Arial"/>
                <w:b/>
                <w:bCs/>
                <w:kern w:val="36"/>
                <w:sz w:val="24"/>
                <w:szCs w:val="24"/>
                <w:lang w:eastAsia="es-CO"/>
              </w:rPr>
            </w:pPr>
          </w:p>
        </w:tc>
      </w:tr>
      <w:tr w:rsidR="00FC3AB1" w:rsidTr="00FC3AB1">
        <w:trPr>
          <w:trHeight w:val="6376"/>
        </w:trPr>
        <w:tc>
          <w:tcPr>
            <w:tcW w:w="4414" w:type="dxa"/>
          </w:tcPr>
          <w:p w:rsidR="00FC3AB1" w:rsidRDefault="00A0651A" w:rsidP="00FC3AB1">
            <w:pPr>
              <w:spacing w:before="100" w:beforeAutospacing="1" w:after="100" w:afterAutospacing="1"/>
              <w:outlineLvl w:val="0"/>
              <w:rPr>
                <w:rFonts w:ascii="Arial" w:hAnsi="Arial" w:cs="Arial"/>
              </w:rPr>
            </w:pPr>
            <w:r w:rsidRPr="00A0651A">
              <w:rPr>
                <w:rFonts w:ascii="Arial" w:hAnsi="Arial" w:cs="Arial"/>
                <w:highlight w:val="yellow"/>
              </w:rPr>
              <w:t>No empezar con expresiones de enlace como</w:t>
            </w:r>
          </w:p>
          <w:p w:rsidR="00700382" w:rsidRDefault="00700382" w:rsidP="00FC3AB1">
            <w:pPr>
              <w:spacing w:before="100" w:beforeAutospacing="1" w:after="100" w:afterAutospacing="1"/>
              <w:outlineLvl w:val="0"/>
              <w:rPr>
                <w:rFonts w:ascii="Arial" w:hAnsi="Arial" w:cs="Arial"/>
              </w:rPr>
            </w:pPr>
            <w:r w:rsidRPr="00700382">
              <w:rPr>
                <w:rFonts w:ascii="Arial" w:hAnsi="Arial" w:cs="Arial"/>
                <w:highlight w:val="green"/>
              </w:rPr>
              <w:t>Concordancia:</w:t>
            </w:r>
          </w:p>
          <w:p w:rsidR="00C32C6E" w:rsidRPr="00C32C6E" w:rsidRDefault="00C32C6E" w:rsidP="00C32C6E">
            <w:pPr>
              <w:spacing w:after="100" w:afterAutospacing="1"/>
              <w:outlineLvl w:val="1"/>
              <w:rPr>
                <w:rFonts w:ascii="Arial" w:eastAsia="Times New Roman" w:hAnsi="Arial" w:cs="Arial"/>
                <w:b/>
                <w:bCs/>
                <w:sz w:val="28"/>
                <w:szCs w:val="28"/>
                <w:lang w:eastAsia="es-CO"/>
              </w:rPr>
            </w:pPr>
            <w:r w:rsidRPr="00C32C6E">
              <w:rPr>
                <w:rFonts w:ascii="Arial" w:eastAsia="Times New Roman" w:hAnsi="Arial" w:cs="Arial"/>
                <w:b/>
                <w:bCs/>
                <w:sz w:val="28"/>
                <w:szCs w:val="28"/>
                <w:lang w:eastAsia="es-CO"/>
              </w:rPr>
              <w:t>Así lo dijo el magistrado Sanabria. Corte Constitucional puede estudiar fallo en última instancia.</w:t>
            </w:r>
          </w:p>
          <w:p w:rsidR="00C32C6E" w:rsidRPr="00700382" w:rsidRDefault="00C32C6E" w:rsidP="00FC3AB1">
            <w:pPr>
              <w:spacing w:before="100" w:beforeAutospacing="1" w:after="100" w:afterAutospacing="1"/>
              <w:outlineLvl w:val="0"/>
              <w:rPr>
                <w:rFonts w:ascii="Arial" w:hAnsi="Arial" w:cs="Arial"/>
              </w:rPr>
            </w:pPr>
          </w:p>
          <w:p w:rsidR="00A0651A" w:rsidRPr="00A0651A" w:rsidRDefault="00A0651A" w:rsidP="00A0651A">
            <w:pPr>
              <w:pStyle w:val="NormalWeb"/>
              <w:rPr>
                <w:rFonts w:ascii="Arial" w:hAnsi="Arial" w:cs="Arial"/>
                <w:sz w:val="22"/>
                <w:szCs w:val="22"/>
              </w:rPr>
            </w:pPr>
            <w:r w:rsidRPr="00A0651A">
              <w:rPr>
                <w:rFonts w:ascii="Arial" w:hAnsi="Arial" w:cs="Arial"/>
                <w:sz w:val="22"/>
                <w:szCs w:val="22"/>
              </w:rPr>
              <w:t>Después de haber sido aplazada dos veces la decisión, este jueves se oficializó la posición que el Consejo Superior de la Judicatura de hundir las más de 186 tutelas unificadas contra la destitución del alcalde Gustavo Petro.</w:t>
            </w:r>
            <w:r w:rsidRPr="00A0651A">
              <w:rPr>
                <w:rFonts w:ascii="Arial" w:hAnsi="Arial" w:cs="Arial"/>
                <w:sz w:val="22"/>
                <w:szCs w:val="22"/>
              </w:rPr>
              <w:br/>
            </w:r>
            <w:r w:rsidRPr="00A0651A">
              <w:rPr>
                <w:rFonts w:ascii="Arial" w:hAnsi="Arial" w:cs="Arial"/>
                <w:sz w:val="22"/>
                <w:szCs w:val="22"/>
              </w:rPr>
              <w:br/>
              <w:t xml:space="preserve">Con seis votos a favor y uno en contra, dentro de lo cual hubo cuatro aclaraciones de voto, la Sala </w:t>
            </w:r>
            <w:r w:rsidR="00700382" w:rsidRPr="00A0651A">
              <w:rPr>
                <w:rFonts w:ascii="Arial" w:hAnsi="Arial" w:cs="Arial"/>
                <w:sz w:val="22"/>
                <w:szCs w:val="22"/>
              </w:rPr>
              <w:t>Disciplinaria</w:t>
            </w:r>
            <w:r w:rsidRPr="00A0651A">
              <w:rPr>
                <w:rFonts w:ascii="Arial" w:hAnsi="Arial" w:cs="Arial"/>
                <w:sz w:val="22"/>
                <w:szCs w:val="22"/>
              </w:rPr>
              <w:t xml:space="preserve"> del Consejo Superior de la Judicatura negó el amparo de las tutelas provenientes de la seccional de la Judicatura en Bogotá que favorecían al alcalde Petro.</w:t>
            </w:r>
          </w:p>
          <w:p w:rsidR="00A0651A" w:rsidRPr="00A0651A" w:rsidRDefault="00A0651A" w:rsidP="00A0651A">
            <w:pPr>
              <w:pStyle w:val="NormalWeb"/>
              <w:rPr>
                <w:rFonts w:ascii="Arial" w:hAnsi="Arial" w:cs="Arial"/>
                <w:sz w:val="22"/>
                <w:szCs w:val="22"/>
              </w:rPr>
            </w:pPr>
            <w:r w:rsidRPr="00A0651A">
              <w:rPr>
                <w:rStyle w:val="Textoennegrita"/>
                <w:rFonts w:ascii="Arial" w:hAnsi="Arial" w:cs="Arial"/>
                <w:sz w:val="22"/>
                <w:szCs w:val="22"/>
              </w:rPr>
              <w:t>"Al revocarse el fallo de primera instancia quedan sin efecto las medidas cautelares en esta instancia, de tal manera que ahora viene la revisión de la Corte Constitucional",</w:t>
            </w:r>
            <w:r w:rsidRPr="00A0651A">
              <w:rPr>
                <w:rFonts w:ascii="Arial" w:hAnsi="Arial" w:cs="Arial"/>
                <w:sz w:val="22"/>
                <w:szCs w:val="22"/>
              </w:rPr>
              <w:t xml:space="preserve"> dijo el magistrado Pedro Sanabria, ponente de la decisión.</w:t>
            </w:r>
          </w:p>
          <w:p w:rsidR="00A0651A" w:rsidRPr="00A0651A" w:rsidRDefault="00A0651A" w:rsidP="00A0651A">
            <w:pPr>
              <w:pStyle w:val="NormalWeb"/>
              <w:rPr>
                <w:rFonts w:ascii="Arial" w:hAnsi="Arial" w:cs="Arial"/>
                <w:sz w:val="22"/>
                <w:szCs w:val="22"/>
              </w:rPr>
            </w:pPr>
            <w:r w:rsidRPr="00C32C6E">
              <w:rPr>
                <w:rFonts w:ascii="Arial" w:hAnsi="Arial" w:cs="Arial"/>
                <w:sz w:val="22"/>
                <w:szCs w:val="22"/>
                <w:highlight w:val="yellow"/>
              </w:rPr>
              <w:t>Según</w:t>
            </w:r>
            <w:r w:rsidRPr="00A0651A">
              <w:rPr>
                <w:rFonts w:ascii="Arial" w:hAnsi="Arial" w:cs="Arial"/>
                <w:sz w:val="22"/>
                <w:szCs w:val="22"/>
              </w:rPr>
              <w:t xml:space="preserve"> el magistrado Sanabria, se determinó que los derechos políticos de un funcionario elegido por voto popular </w:t>
            </w:r>
            <w:r w:rsidR="004009CA" w:rsidRPr="00A0651A">
              <w:rPr>
                <w:rFonts w:ascii="Arial" w:hAnsi="Arial" w:cs="Arial"/>
                <w:sz w:val="22"/>
                <w:szCs w:val="22"/>
              </w:rPr>
              <w:t>tienen</w:t>
            </w:r>
            <w:r w:rsidRPr="00A0651A">
              <w:rPr>
                <w:rFonts w:ascii="Arial" w:hAnsi="Arial" w:cs="Arial"/>
                <w:sz w:val="22"/>
                <w:szCs w:val="22"/>
              </w:rPr>
              <w:t xml:space="preserve"> límites.</w:t>
            </w:r>
          </w:p>
          <w:p w:rsidR="00A0651A" w:rsidRPr="00A0651A" w:rsidRDefault="00A0651A" w:rsidP="00A0651A">
            <w:pPr>
              <w:pStyle w:val="NormalWeb"/>
              <w:rPr>
                <w:rFonts w:ascii="Arial" w:hAnsi="Arial" w:cs="Arial"/>
                <w:sz w:val="22"/>
                <w:szCs w:val="22"/>
              </w:rPr>
            </w:pPr>
            <w:r w:rsidRPr="00A0651A">
              <w:rPr>
                <w:rFonts w:ascii="Arial" w:hAnsi="Arial" w:cs="Arial"/>
                <w:sz w:val="22"/>
                <w:szCs w:val="22"/>
              </w:rPr>
              <w:t xml:space="preserve">Sanabria resaltó que la sentencia C-028 de 2006, que emitió la Corte Constitucional, se pronunció sobre el </w:t>
            </w:r>
            <w:r w:rsidRPr="00A0651A">
              <w:rPr>
                <w:rFonts w:ascii="Arial" w:hAnsi="Arial" w:cs="Arial"/>
                <w:sz w:val="22"/>
                <w:szCs w:val="22"/>
              </w:rPr>
              <w:lastRenderedPageBreak/>
              <w:t>artículo 23 del de San José de Costa Rica y determinó que en este en nada atenta contra el fallo de la Procuraduría que destituyó e inhabilitó por 15 años a Petro.</w:t>
            </w:r>
          </w:p>
          <w:p w:rsidR="00A0651A" w:rsidRPr="00A0651A" w:rsidRDefault="00A0651A" w:rsidP="00A0651A">
            <w:pPr>
              <w:pStyle w:val="NormalWeb"/>
              <w:rPr>
                <w:rFonts w:ascii="Arial" w:hAnsi="Arial" w:cs="Arial"/>
                <w:sz w:val="22"/>
                <w:szCs w:val="22"/>
              </w:rPr>
            </w:pPr>
            <w:r w:rsidRPr="00A0651A">
              <w:rPr>
                <w:rFonts w:ascii="Arial" w:hAnsi="Arial" w:cs="Arial"/>
                <w:sz w:val="22"/>
                <w:szCs w:val="22"/>
                <w:highlight w:val="yellow"/>
              </w:rPr>
              <w:t>Por un lado,</w:t>
            </w:r>
            <w:r w:rsidRPr="00A0651A">
              <w:rPr>
                <w:rFonts w:ascii="Arial" w:hAnsi="Arial" w:cs="Arial"/>
                <w:sz w:val="22"/>
                <w:szCs w:val="22"/>
              </w:rPr>
              <w:t xml:space="preserve"> la ponencia negó la supuesta vulneración de los derechos políticos de los accionantes, </w:t>
            </w:r>
            <w:r w:rsidRPr="00C32C6E">
              <w:rPr>
                <w:rFonts w:ascii="Arial" w:hAnsi="Arial" w:cs="Arial"/>
                <w:sz w:val="22"/>
                <w:szCs w:val="22"/>
                <w:highlight w:val="cyan"/>
              </w:rPr>
              <w:t>pues</w:t>
            </w:r>
            <w:r w:rsidRPr="00A0651A">
              <w:rPr>
                <w:rFonts w:ascii="Arial" w:hAnsi="Arial" w:cs="Arial"/>
                <w:sz w:val="22"/>
                <w:szCs w:val="22"/>
              </w:rPr>
              <w:t xml:space="preserve"> considera que no tienen la calidad de sujetos procesales porque no resultan vulnerados o amenazados directamente.</w:t>
            </w:r>
          </w:p>
          <w:p w:rsidR="00A0651A" w:rsidRPr="00A0651A" w:rsidRDefault="00A0651A" w:rsidP="00A0651A">
            <w:pPr>
              <w:pStyle w:val="NormalWeb"/>
              <w:rPr>
                <w:rFonts w:ascii="Arial" w:hAnsi="Arial" w:cs="Arial"/>
                <w:sz w:val="22"/>
                <w:szCs w:val="22"/>
              </w:rPr>
            </w:pPr>
            <w:r w:rsidRPr="00A0651A">
              <w:rPr>
                <w:rFonts w:ascii="Arial" w:hAnsi="Arial" w:cs="Arial"/>
                <w:sz w:val="22"/>
                <w:szCs w:val="22"/>
              </w:rPr>
              <w:t>"Los derechos fundamentales a elegir y participar en el ejercicio y control del poder político no han sido desconocidos para los accionantes por parte de la Procuraduría, porque esos derechos no tienen carácter absoluto. Su ejercicio no puede impedir la existencia de procesos disciplinarios y la imposición de sanciones que en derecho correspondan", consideró la Judicatura.</w:t>
            </w:r>
          </w:p>
          <w:p w:rsidR="00A0651A" w:rsidRPr="00A0651A" w:rsidRDefault="00A0651A" w:rsidP="00A0651A">
            <w:pPr>
              <w:pStyle w:val="NormalWeb"/>
              <w:rPr>
                <w:rFonts w:ascii="Arial" w:hAnsi="Arial" w:cs="Arial"/>
                <w:sz w:val="22"/>
                <w:szCs w:val="22"/>
              </w:rPr>
            </w:pPr>
            <w:r w:rsidRPr="00A0651A">
              <w:rPr>
                <w:rFonts w:ascii="Arial" w:hAnsi="Arial" w:cs="Arial"/>
                <w:sz w:val="22"/>
                <w:szCs w:val="22"/>
                <w:highlight w:val="yellow"/>
              </w:rPr>
              <w:t>Además</w:t>
            </w:r>
            <w:r w:rsidRPr="00A0651A">
              <w:rPr>
                <w:rFonts w:ascii="Arial" w:hAnsi="Arial" w:cs="Arial"/>
                <w:sz w:val="22"/>
                <w:szCs w:val="22"/>
              </w:rPr>
              <w:t xml:space="preserve"> quedaron reafirmadas las facultades del Procurador para sancionar, incluso a los elegidos por voto popular. En lo relacionado con la supuesta facultad del Jefe de Estado para hacer efectiva o no la sanción, la Judicatura decidió que "la atribución al Presidente no puede ser otra que la de suspender al señor Alcalde en los casos establecidos en la ley".</w:t>
            </w:r>
          </w:p>
          <w:p w:rsidR="00A0651A" w:rsidRPr="00A0651A" w:rsidRDefault="00A0651A" w:rsidP="00A0651A">
            <w:pPr>
              <w:pStyle w:val="NormalWeb"/>
              <w:rPr>
                <w:rFonts w:ascii="Arial" w:hAnsi="Arial" w:cs="Arial"/>
                <w:sz w:val="22"/>
                <w:szCs w:val="22"/>
              </w:rPr>
            </w:pPr>
            <w:r w:rsidRPr="00A0651A">
              <w:rPr>
                <w:rFonts w:ascii="Arial" w:hAnsi="Arial" w:cs="Arial"/>
                <w:sz w:val="22"/>
                <w:szCs w:val="22"/>
              </w:rPr>
              <w:t>La ponencia que resultó favorecida dijo sobre el supuesto "perjuicio irremediable" que un tercero no puede abogar por el perjuicio irremediable de otro y asegura que eso es algo que debe hacer el directamente afectado.</w:t>
            </w:r>
          </w:p>
          <w:p w:rsidR="00A0651A" w:rsidRPr="00A0651A" w:rsidRDefault="00A0651A" w:rsidP="00A0651A">
            <w:pPr>
              <w:pStyle w:val="NormalWeb"/>
              <w:rPr>
                <w:rFonts w:ascii="Arial" w:hAnsi="Arial" w:cs="Arial"/>
                <w:sz w:val="22"/>
                <w:szCs w:val="22"/>
              </w:rPr>
            </w:pPr>
            <w:r w:rsidRPr="00A0651A">
              <w:rPr>
                <w:rFonts w:ascii="Arial" w:hAnsi="Arial" w:cs="Arial"/>
                <w:sz w:val="22"/>
                <w:szCs w:val="22"/>
              </w:rPr>
              <w:t>"La sanción disciplinaria impuesta al accionante no puede considerarse en sí misma como un perjuicio irremediable, porque, como ya lo ha dicho la jurisprudencia en casos semejantes, se estaría permitiendo que todas las sanciones disciplinarias podrían ser objeto de la acción de tutela", dice la Sala.</w:t>
            </w:r>
            <w:r w:rsidRPr="00A0651A">
              <w:rPr>
                <w:rFonts w:ascii="Arial" w:hAnsi="Arial" w:cs="Arial"/>
                <w:sz w:val="22"/>
                <w:szCs w:val="22"/>
              </w:rPr>
              <w:br/>
            </w:r>
            <w:r w:rsidRPr="00A0651A">
              <w:rPr>
                <w:rFonts w:ascii="Arial" w:hAnsi="Arial" w:cs="Arial"/>
                <w:sz w:val="22"/>
                <w:szCs w:val="22"/>
              </w:rPr>
              <w:br/>
            </w:r>
            <w:r w:rsidRPr="00A0651A">
              <w:rPr>
                <w:rFonts w:ascii="Arial" w:hAnsi="Arial" w:cs="Arial"/>
                <w:sz w:val="22"/>
                <w:szCs w:val="22"/>
                <w:highlight w:val="yellow"/>
              </w:rPr>
              <w:t>Aunque</w:t>
            </w:r>
            <w:r w:rsidRPr="00A0651A">
              <w:rPr>
                <w:rFonts w:ascii="Arial" w:hAnsi="Arial" w:cs="Arial"/>
                <w:sz w:val="22"/>
                <w:szCs w:val="22"/>
              </w:rPr>
              <w:t xml:space="preserve"> la decisión estaba clara desde inicio de semana, el magistrado Ovidio </w:t>
            </w:r>
            <w:r w:rsidRPr="00A0651A">
              <w:rPr>
                <w:rFonts w:ascii="Arial" w:hAnsi="Arial" w:cs="Arial"/>
                <w:sz w:val="22"/>
                <w:szCs w:val="22"/>
              </w:rPr>
              <w:lastRenderedPageBreak/>
              <w:t>Claros pidió un tiempo adicional para volver a estudiar la ponencia del magistrado Pedro Sanabria, que había sido votada con cuatro votos a favor. Claros pidió tiempo para revisar la ponencia, de cara a lo que dice la Convención Americana de los Derechos Humanos sobre las sanciones contra los funcionarios de elección popular.</w:t>
            </w:r>
          </w:p>
          <w:p w:rsidR="00A0651A" w:rsidRPr="00A0651A" w:rsidRDefault="00A0651A" w:rsidP="00A0651A">
            <w:pPr>
              <w:pStyle w:val="NormalWeb"/>
              <w:rPr>
                <w:rFonts w:ascii="Arial" w:hAnsi="Arial" w:cs="Arial"/>
                <w:sz w:val="22"/>
                <w:szCs w:val="22"/>
              </w:rPr>
            </w:pPr>
            <w:r w:rsidRPr="00A0651A">
              <w:rPr>
                <w:rStyle w:val="Textoennegrita"/>
                <w:rFonts w:ascii="Arial" w:hAnsi="Arial" w:cs="Arial"/>
                <w:sz w:val="22"/>
                <w:szCs w:val="22"/>
              </w:rPr>
              <w:t>“Los derechos políticos tienen límites y los límites están consagrados en la Constitución”,</w:t>
            </w:r>
            <w:r w:rsidRPr="00A0651A">
              <w:rPr>
                <w:rFonts w:ascii="Arial" w:hAnsi="Arial" w:cs="Arial"/>
                <w:sz w:val="22"/>
                <w:szCs w:val="22"/>
              </w:rPr>
              <w:t xml:space="preserve"> dijo el magistrado Sanabria. Y agregó: “La decisión del Procurador es uno de esos límites”, dijo al hacer referencia a los derechos que algunos ciudadanos hacían referencia en las tutelas interpuestas.</w:t>
            </w:r>
          </w:p>
          <w:p w:rsidR="00A0651A" w:rsidRPr="00A0651A" w:rsidRDefault="00A0651A" w:rsidP="00A0651A">
            <w:pPr>
              <w:pStyle w:val="NormalWeb"/>
              <w:rPr>
                <w:rFonts w:ascii="Arial" w:hAnsi="Arial" w:cs="Arial"/>
                <w:sz w:val="22"/>
                <w:szCs w:val="22"/>
              </w:rPr>
            </w:pPr>
            <w:r w:rsidRPr="00A0651A">
              <w:rPr>
                <w:rFonts w:ascii="Arial" w:hAnsi="Arial" w:cs="Arial"/>
                <w:sz w:val="22"/>
                <w:szCs w:val="22"/>
                <w:highlight w:val="yellow"/>
              </w:rPr>
              <w:t>Y aunque</w:t>
            </w:r>
            <w:r w:rsidRPr="00A0651A">
              <w:rPr>
                <w:rFonts w:ascii="Arial" w:hAnsi="Arial" w:cs="Arial"/>
                <w:sz w:val="22"/>
                <w:szCs w:val="22"/>
              </w:rPr>
              <w:t xml:space="preserve"> la decisión de la Judicatura es clara, cabe recordar que aún están por resolverse las cerca de 21 tutelas interpuestas por diferentes actores en el Consejo de Estado. Sobre este punto, la magistrada María Claudia Rojas, señaló que no se tiene certeza de si se estudiaran por separado o se unificarán, lo que sería determinante para saber cuándo puedan ser resueltas. Mientras no se tenga fallo sobre dichas acciones, el alcalde Gustavo Petro podrá continuar en el Palacio de Liévano.</w:t>
            </w:r>
          </w:p>
          <w:p w:rsidR="00A0651A" w:rsidRDefault="00A0651A" w:rsidP="00FC3AB1">
            <w:pPr>
              <w:spacing w:before="100" w:beforeAutospacing="1" w:after="100" w:afterAutospacing="1"/>
              <w:outlineLvl w:val="0"/>
              <w:rPr>
                <w:rFonts w:ascii="Arial" w:eastAsia="Times New Roman" w:hAnsi="Arial" w:cs="Arial"/>
                <w:b/>
                <w:bCs/>
                <w:kern w:val="36"/>
                <w:lang w:eastAsia="es-CO"/>
              </w:rPr>
            </w:pPr>
            <w:r w:rsidRPr="00A0651A">
              <w:rPr>
                <w:rFonts w:ascii="Arial" w:hAnsi="Arial" w:cs="Arial"/>
              </w:rPr>
              <w:t>.</w:t>
            </w:r>
          </w:p>
        </w:tc>
        <w:tc>
          <w:tcPr>
            <w:tcW w:w="4414" w:type="dxa"/>
          </w:tcPr>
          <w:p w:rsidR="00FC3AB1" w:rsidRDefault="00FC3AB1" w:rsidP="00FC3AB1">
            <w:pPr>
              <w:spacing w:before="100" w:beforeAutospacing="1" w:after="100" w:afterAutospacing="1"/>
              <w:outlineLvl w:val="0"/>
              <w:rPr>
                <w:rFonts w:ascii="Arial" w:eastAsia="Times New Roman" w:hAnsi="Arial" w:cs="Arial"/>
                <w:b/>
                <w:bCs/>
                <w:kern w:val="36"/>
                <w:lang w:eastAsia="es-CO"/>
              </w:rPr>
            </w:pPr>
          </w:p>
          <w:p w:rsidR="00A0651A" w:rsidRDefault="00700382" w:rsidP="00700382">
            <w:pPr>
              <w:pStyle w:val="Prrafodelista"/>
              <w:numPr>
                <w:ilvl w:val="0"/>
                <w:numId w:val="1"/>
              </w:numPr>
              <w:spacing w:before="100" w:beforeAutospacing="1" w:after="100" w:afterAutospacing="1"/>
              <w:outlineLvl w:val="0"/>
              <w:rPr>
                <w:rFonts w:ascii="Arial" w:eastAsia="Times New Roman" w:hAnsi="Arial" w:cs="Arial"/>
                <w:b/>
                <w:bCs/>
                <w:kern w:val="36"/>
                <w:lang w:eastAsia="es-CO"/>
              </w:rPr>
            </w:pPr>
            <w:r>
              <w:rPr>
                <w:rFonts w:ascii="Arial" w:eastAsia="Times New Roman" w:hAnsi="Arial" w:cs="Arial"/>
                <w:b/>
                <w:bCs/>
                <w:noProof/>
                <w:kern w:val="36"/>
                <w:lang w:eastAsia="es-CO"/>
              </w:rPr>
              <mc:AlternateContent>
                <mc:Choice Requires="wps">
                  <w:drawing>
                    <wp:anchor distT="0" distB="0" distL="114300" distR="114300" simplePos="0" relativeHeight="251659264" behindDoc="0" locked="0" layoutInCell="1" allowOverlap="1">
                      <wp:simplePos x="0" y="0"/>
                      <wp:positionH relativeFrom="column">
                        <wp:posOffset>1969770</wp:posOffset>
                      </wp:positionH>
                      <wp:positionV relativeFrom="paragraph">
                        <wp:posOffset>184785</wp:posOffset>
                      </wp:positionV>
                      <wp:extent cx="76200" cy="76200"/>
                      <wp:effectExtent l="19050" t="38100" r="38100" b="38100"/>
                      <wp:wrapNone/>
                      <wp:docPr id="1" name="Estrella de 5 puntas 1"/>
                      <wp:cNvGraphicFramePr/>
                      <a:graphic xmlns:a="http://schemas.openxmlformats.org/drawingml/2006/main">
                        <a:graphicData uri="http://schemas.microsoft.com/office/word/2010/wordprocessingShape">
                          <wps:wsp>
                            <wps:cNvSpPr/>
                            <wps:spPr>
                              <a:xfrm>
                                <a:off x="0" y="0"/>
                                <a:ext cx="76200" cy="76200"/>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90CC4D" id="Estrella de 5 puntas 1" o:spid="_x0000_s1026" style="position:absolute;margin-left:155.1pt;margin-top:14.55pt;width:6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" path="m,29106r29106,l38100,r8994,29106l76200,29106,52653,47094r8994,29106l38100,58211,14553,76200,23547,47094,,29106xe" fillcolor="yellow" strokecolor="yellow" strokeweight="1pt">
                      <v:stroke joinstyle="miter"/>
                      <v:path arrowok="t" o:connecttype="custom" o:connectlocs="0,29106;29106,29106;38100,0;47094,29106;76200,29106;52653,47094;61647,76200;38100,58211;14553,76200;23547,47094;0,29106" o:connectangles="0,0,0,0,0,0,0,0,0,0,0"/>
                    </v:shape>
                  </w:pict>
                </mc:Fallback>
              </mc:AlternateContent>
            </w:r>
            <w:r>
              <w:rPr>
                <w:rFonts w:ascii="Arial" w:eastAsia="Times New Roman" w:hAnsi="Arial" w:cs="Arial"/>
                <w:b/>
                <w:bCs/>
                <w:kern w:val="36"/>
                <w:lang w:eastAsia="es-CO"/>
              </w:rPr>
              <w:t xml:space="preserve">Algunos párrafos cuentan con inicio no adecuados. </w:t>
            </w:r>
          </w:p>
          <w:p w:rsidR="00700382" w:rsidRDefault="00700382" w:rsidP="00700382">
            <w:pPr>
              <w:pStyle w:val="Prrafodelista"/>
              <w:numPr>
                <w:ilvl w:val="0"/>
                <w:numId w:val="1"/>
              </w:numPr>
              <w:spacing w:before="100" w:beforeAutospacing="1" w:after="100" w:afterAutospacing="1"/>
              <w:outlineLvl w:val="0"/>
              <w:rPr>
                <w:rFonts w:ascii="Arial" w:eastAsia="Times New Roman" w:hAnsi="Arial" w:cs="Arial"/>
                <w:b/>
                <w:bCs/>
                <w:kern w:val="36"/>
                <w:lang w:eastAsia="es-CO"/>
              </w:rPr>
            </w:pPr>
            <w:r>
              <w:rPr>
                <w:rFonts w:ascii="Arial" w:eastAsia="Times New Roman" w:hAnsi="Arial" w:cs="Arial"/>
                <w:b/>
                <w:bCs/>
                <w:kern w:val="36"/>
                <w:lang w:eastAsia="es-CO"/>
              </w:rPr>
              <w:t>Tiene malos en lanzamientos entre frases.</w:t>
            </w:r>
          </w:p>
          <w:p w:rsidR="00700382" w:rsidRDefault="00700382" w:rsidP="00700382">
            <w:pPr>
              <w:pStyle w:val="Prrafodelista"/>
              <w:numPr>
                <w:ilvl w:val="0"/>
                <w:numId w:val="1"/>
              </w:numPr>
              <w:spacing w:before="100" w:beforeAutospacing="1" w:after="100" w:afterAutospacing="1"/>
              <w:outlineLvl w:val="0"/>
              <w:rPr>
                <w:rFonts w:ascii="Arial" w:eastAsia="Times New Roman" w:hAnsi="Arial" w:cs="Arial"/>
                <w:b/>
                <w:bCs/>
                <w:kern w:val="36"/>
                <w:lang w:eastAsia="es-CO"/>
              </w:rPr>
            </w:pPr>
            <w:r>
              <w:rPr>
                <w:rFonts w:ascii="Arial" w:eastAsia="Times New Roman" w:hAnsi="Arial" w:cs="Arial"/>
                <w:b/>
                <w:bCs/>
                <w:kern w:val="36"/>
                <w:lang w:eastAsia="es-CO"/>
              </w:rPr>
              <w:t>Cuenta con un párrafo corto.</w:t>
            </w:r>
          </w:p>
          <w:p w:rsidR="00700382" w:rsidRPr="00C32C6E" w:rsidRDefault="00700382" w:rsidP="00C32C6E">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bookmarkStart w:id="0" w:name="_GoBack"/>
            <w:bookmarkEnd w:id="0"/>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700382" w:rsidRDefault="00700382" w:rsidP="00FC3AB1">
            <w:pPr>
              <w:spacing w:before="100" w:beforeAutospacing="1" w:after="100" w:afterAutospacing="1"/>
              <w:outlineLvl w:val="0"/>
              <w:rPr>
                <w:rFonts w:ascii="Arial" w:eastAsia="Times New Roman" w:hAnsi="Arial" w:cs="Arial"/>
                <w:b/>
                <w:bCs/>
                <w:kern w:val="36"/>
                <w:lang w:eastAsia="es-CO"/>
              </w:rPr>
            </w:pPr>
          </w:p>
          <w:p w:rsidR="004009CA" w:rsidRPr="004009CA" w:rsidRDefault="004009CA" w:rsidP="004009CA">
            <w:pPr>
              <w:pStyle w:val="NormalWeb"/>
              <w:rPr>
                <w:rFonts w:ascii="Arial" w:hAnsi="Arial" w:cs="Arial"/>
                <w:sz w:val="22"/>
                <w:szCs w:val="22"/>
              </w:rPr>
            </w:pPr>
            <w:r w:rsidRPr="004009CA">
              <w:rPr>
                <w:rFonts w:ascii="Arial" w:hAnsi="Arial" w:cs="Arial"/>
                <w:bCs/>
                <w:kern w:val="36"/>
              </w:rPr>
              <w:t xml:space="preserve">La ponencia negó la supuesta vulneración de los derechos políticos de los accionantes </w:t>
            </w:r>
            <w:r w:rsidRPr="004009CA">
              <w:rPr>
                <w:rFonts w:ascii="Arial" w:hAnsi="Arial" w:cs="Arial"/>
                <w:sz w:val="22"/>
                <w:szCs w:val="22"/>
              </w:rPr>
              <w:t>pues considera que no tienen la calidad de sujetos procesales porque no resultan vulnerados o amenazados directamente.</w:t>
            </w: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Pr="00A0651A" w:rsidRDefault="004009CA" w:rsidP="004009CA">
            <w:pPr>
              <w:pStyle w:val="NormalWeb"/>
              <w:rPr>
                <w:rFonts w:ascii="Arial" w:hAnsi="Arial" w:cs="Arial"/>
                <w:sz w:val="22"/>
                <w:szCs w:val="22"/>
              </w:rPr>
            </w:pPr>
            <w:r>
              <w:rPr>
                <w:rFonts w:ascii="Arial" w:hAnsi="Arial" w:cs="Arial"/>
                <w:sz w:val="22"/>
                <w:szCs w:val="22"/>
              </w:rPr>
              <w:t xml:space="preserve">También </w:t>
            </w:r>
            <w:r w:rsidRPr="00A0651A">
              <w:rPr>
                <w:rFonts w:ascii="Arial" w:hAnsi="Arial" w:cs="Arial"/>
                <w:sz w:val="22"/>
                <w:szCs w:val="22"/>
              </w:rPr>
              <w:t>quedaron reafirmadas las facultades del Procurador para sancionar, incluso a los elegidos por voto popular</w:t>
            </w:r>
            <w:r>
              <w:rPr>
                <w:rFonts w:ascii="Arial" w:hAnsi="Arial" w:cs="Arial"/>
                <w:sz w:val="22"/>
                <w:szCs w:val="22"/>
              </w:rPr>
              <w:t>.</w:t>
            </w: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FC3AB1">
            <w:pPr>
              <w:spacing w:before="100" w:beforeAutospacing="1" w:after="100" w:afterAutospacing="1"/>
              <w:outlineLvl w:val="0"/>
              <w:rPr>
                <w:rFonts w:ascii="Arial" w:eastAsia="Times New Roman" w:hAnsi="Arial" w:cs="Arial"/>
                <w:b/>
                <w:bCs/>
                <w:kern w:val="36"/>
                <w:lang w:eastAsia="es-CO"/>
              </w:rPr>
            </w:pP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sz w:val="22"/>
                <w:szCs w:val="22"/>
              </w:rPr>
            </w:pPr>
            <w:r w:rsidRPr="004009CA">
              <w:rPr>
                <w:rFonts w:ascii="Arial" w:hAnsi="Arial" w:cs="Arial"/>
                <w:sz w:val="22"/>
                <w:szCs w:val="22"/>
              </w:rPr>
              <w:t>No obstante</w:t>
            </w:r>
            <w:r w:rsidRPr="00A0651A">
              <w:rPr>
                <w:rFonts w:ascii="Arial" w:hAnsi="Arial" w:cs="Arial"/>
                <w:sz w:val="22"/>
                <w:szCs w:val="22"/>
              </w:rPr>
              <w:t xml:space="preserve"> la decisión estaba clara desde inicio de semana, el magistrado Ovidio Claros pidió un tiempo adicional para volver a estudiar la ponencia del </w:t>
            </w:r>
            <w:r w:rsidRPr="00A0651A">
              <w:rPr>
                <w:rFonts w:ascii="Arial" w:hAnsi="Arial" w:cs="Arial"/>
                <w:sz w:val="22"/>
                <w:szCs w:val="22"/>
              </w:rPr>
              <w:lastRenderedPageBreak/>
              <w:t xml:space="preserve">magistrado Pedro Sanabria, que había sido votada con cuatro votos a favor. </w:t>
            </w: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sz w:val="22"/>
                <w:szCs w:val="22"/>
              </w:rPr>
            </w:pPr>
          </w:p>
          <w:p w:rsidR="004009CA" w:rsidRDefault="004009CA" w:rsidP="004009CA">
            <w:pPr>
              <w:pStyle w:val="NormalWeb"/>
              <w:rPr>
                <w:rFonts w:ascii="Arial" w:hAnsi="Arial" w:cs="Arial"/>
                <w:b/>
                <w:bCs/>
                <w:kern w:val="36"/>
              </w:rPr>
            </w:pPr>
            <w:r w:rsidRPr="004009CA">
              <w:rPr>
                <w:rFonts w:ascii="Arial" w:hAnsi="Arial" w:cs="Arial"/>
                <w:sz w:val="22"/>
                <w:szCs w:val="22"/>
              </w:rPr>
              <w:t>Sin embargo</w:t>
            </w:r>
            <w:r w:rsidRPr="00A0651A">
              <w:rPr>
                <w:rFonts w:ascii="Arial" w:hAnsi="Arial" w:cs="Arial"/>
                <w:sz w:val="22"/>
                <w:szCs w:val="22"/>
              </w:rPr>
              <w:t xml:space="preserve"> la decisión de la Judicatura es clara, cabe recordar que aún están por resolverse las cerca de 21 tutelas interpuestas por diferentes actores en el Consejo de Estado. </w:t>
            </w:r>
          </w:p>
        </w:tc>
      </w:tr>
    </w:tbl>
    <w:p w:rsidR="00FC3AB1" w:rsidRPr="00FC3AB1" w:rsidRDefault="00FC3AB1" w:rsidP="00FC3AB1">
      <w:pPr>
        <w:spacing w:before="100" w:beforeAutospacing="1" w:after="100" w:afterAutospacing="1" w:line="240" w:lineRule="auto"/>
        <w:outlineLvl w:val="0"/>
        <w:rPr>
          <w:rFonts w:ascii="Arial" w:eastAsia="Times New Roman" w:hAnsi="Arial" w:cs="Arial"/>
          <w:b/>
          <w:bCs/>
          <w:kern w:val="36"/>
          <w:lang w:eastAsia="es-CO"/>
        </w:rPr>
      </w:pPr>
    </w:p>
    <w:p w:rsidR="00A22050" w:rsidRDefault="00A22050"/>
    <w:sectPr w:rsidR="00A220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73CF2"/>
    <w:multiLevelType w:val="hybridMultilevel"/>
    <w:tmpl w:val="E90E46E6"/>
    <w:lvl w:ilvl="0" w:tplc="4A5CFA70">
      <w:start w:val="1"/>
      <w:numFmt w:val="decimal"/>
      <w:lvlText w:val="%1."/>
      <w:lvlJc w:val="left"/>
      <w:pPr>
        <w:ind w:left="785" w:hanging="360"/>
      </w:pPr>
      <w:rPr>
        <w:rFonts w:hint="default"/>
        <w:color w:val="auto"/>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B1"/>
    <w:rsid w:val="00231745"/>
    <w:rsid w:val="00361B19"/>
    <w:rsid w:val="004009CA"/>
    <w:rsid w:val="00700382"/>
    <w:rsid w:val="00A0651A"/>
    <w:rsid w:val="00A22050"/>
    <w:rsid w:val="00C32C6E"/>
    <w:rsid w:val="00FC3A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65FC0-4B8C-4BC5-BD98-0DCA31B6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C3A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C32C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3AB1"/>
    <w:rPr>
      <w:rFonts w:ascii="Times New Roman" w:eastAsia="Times New Roman" w:hAnsi="Times New Roman" w:cs="Times New Roman"/>
      <w:b/>
      <w:bCs/>
      <w:kern w:val="36"/>
      <w:sz w:val="48"/>
      <w:szCs w:val="48"/>
      <w:lang w:eastAsia="es-CO"/>
    </w:rPr>
  </w:style>
  <w:style w:type="table" w:styleId="Tablaconcuadrcula">
    <w:name w:val="Table Grid"/>
    <w:basedOn w:val="Tablanormal"/>
    <w:uiPriority w:val="39"/>
    <w:rsid w:val="00FC3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0651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0651A"/>
    <w:rPr>
      <w:b/>
      <w:bCs/>
    </w:rPr>
  </w:style>
  <w:style w:type="paragraph" w:styleId="Prrafodelista">
    <w:name w:val="List Paragraph"/>
    <w:basedOn w:val="Normal"/>
    <w:uiPriority w:val="34"/>
    <w:qFormat/>
    <w:rsid w:val="00700382"/>
    <w:pPr>
      <w:ind w:left="720"/>
      <w:contextualSpacing/>
    </w:pPr>
  </w:style>
  <w:style w:type="character" w:customStyle="1" w:styleId="Ttulo2Car">
    <w:name w:val="Título 2 Car"/>
    <w:basedOn w:val="Fuentedeprrafopredeter"/>
    <w:link w:val="Ttulo2"/>
    <w:uiPriority w:val="9"/>
    <w:semiHidden/>
    <w:rsid w:val="00C32C6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10230">
      <w:bodyDiv w:val="1"/>
      <w:marLeft w:val="0"/>
      <w:marRight w:val="0"/>
      <w:marTop w:val="0"/>
      <w:marBottom w:val="0"/>
      <w:divBdr>
        <w:top w:val="none" w:sz="0" w:space="0" w:color="auto"/>
        <w:left w:val="none" w:sz="0" w:space="0" w:color="auto"/>
        <w:bottom w:val="none" w:sz="0" w:space="0" w:color="auto"/>
        <w:right w:val="none" w:sz="0" w:space="0" w:color="auto"/>
      </w:divBdr>
    </w:div>
    <w:div w:id="998384566">
      <w:bodyDiv w:val="1"/>
      <w:marLeft w:val="0"/>
      <w:marRight w:val="0"/>
      <w:marTop w:val="0"/>
      <w:marBottom w:val="0"/>
      <w:divBdr>
        <w:top w:val="none" w:sz="0" w:space="0" w:color="auto"/>
        <w:left w:val="none" w:sz="0" w:space="0" w:color="auto"/>
        <w:bottom w:val="none" w:sz="0" w:space="0" w:color="auto"/>
        <w:right w:val="none" w:sz="0" w:space="0" w:color="auto"/>
      </w:divBdr>
    </w:div>
    <w:div w:id="1317345202">
      <w:bodyDiv w:val="1"/>
      <w:marLeft w:val="0"/>
      <w:marRight w:val="0"/>
      <w:marTop w:val="0"/>
      <w:marBottom w:val="0"/>
      <w:divBdr>
        <w:top w:val="none" w:sz="0" w:space="0" w:color="auto"/>
        <w:left w:val="none" w:sz="0" w:space="0" w:color="auto"/>
        <w:bottom w:val="none" w:sz="0" w:space="0" w:color="auto"/>
        <w:right w:val="none" w:sz="0" w:space="0" w:color="auto"/>
      </w:divBdr>
    </w:div>
    <w:div w:id="1348947102">
      <w:bodyDiv w:val="1"/>
      <w:marLeft w:val="0"/>
      <w:marRight w:val="0"/>
      <w:marTop w:val="0"/>
      <w:marBottom w:val="0"/>
      <w:divBdr>
        <w:top w:val="none" w:sz="0" w:space="0" w:color="auto"/>
        <w:left w:val="none" w:sz="0" w:space="0" w:color="auto"/>
        <w:bottom w:val="none" w:sz="0" w:space="0" w:color="auto"/>
        <w:right w:val="none" w:sz="0" w:space="0" w:color="auto"/>
      </w:divBdr>
    </w:div>
    <w:div w:id="19349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769</Words>
  <Characters>4231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dc:creator>
  <cp:keywords/>
  <dc:description/>
  <cp:lastModifiedBy>22</cp:lastModifiedBy>
  <cp:revision>1</cp:revision>
  <dcterms:created xsi:type="dcterms:W3CDTF">2014-03-06T17:46:00Z</dcterms:created>
  <dcterms:modified xsi:type="dcterms:W3CDTF">2014-03-06T18:55:00Z</dcterms:modified>
</cp:coreProperties>
</file>